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6019" w:type="dxa"/>
        <w:tblInd w:w="-856" w:type="dxa"/>
        <w:tblLayout w:type="fixed"/>
        <w:tblLook w:val="06A0" w:firstRow="1" w:lastRow="0" w:firstColumn="1" w:lastColumn="0" w:noHBand="1" w:noVBand="1"/>
      </w:tblPr>
      <w:tblGrid>
        <w:gridCol w:w="1560"/>
        <w:gridCol w:w="1842"/>
        <w:gridCol w:w="3686"/>
        <w:gridCol w:w="2977"/>
        <w:gridCol w:w="3118"/>
        <w:gridCol w:w="2836"/>
      </w:tblGrid>
      <w:tr w:rsidR="001B1A0E" w:rsidRPr="001B1A0E" w:rsidTr="001B1A0E">
        <w:tc>
          <w:tcPr>
            <w:tcW w:w="1560" w:type="dxa"/>
          </w:tcPr>
          <w:p w:rsidR="001B1A0E" w:rsidRPr="0003024C" w:rsidRDefault="001B1A0E" w:rsidP="002B0FB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0" w:name="_GoBack" w:colFirst="0" w:colLast="0"/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Uitgangspunten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visie</w:t>
            </w:r>
            <w:proofErr w:type="spellEnd"/>
          </w:p>
        </w:tc>
        <w:tc>
          <w:tcPr>
            <w:tcW w:w="1842" w:type="dxa"/>
          </w:tcPr>
          <w:p w:rsidR="001B1A0E" w:rsidRDefault="001B1A0E" w:rsidP="002B0FB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11F6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WPL1</w:t>
            </w:r>
          </w:p>
          <w:p w:rsidR="001B1A0E" w:rsidRPr="002D6A10" w:rsidRDefault="001B1A0E" w:rsidP="002B0FB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proofErr w:type="spellStart"/>
            <w:r w:rsidRPr="002D6A1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Voltijd</w:t>
            </w:r>
            <w:proofErr w:type="spellEnd"/>
            <w:r w:rsidRPr="002D6A1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&amp; </w:t>
            </w:r>
            <w:proofErr w:type="spellStart"/>
            <w:r w:rsidRPr="002D6A1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deeltijd</w:t>
            </w:r>
            <w:proofErr w:type="spellEnd"/>
          </w:p>
        </w:tc>
        <w:tc>
          <w:tcPr>
            <w:tcW w:w="3686" w:type="dxa"/>
          </w:tcPr>
          <w:p w:rsidR="001B1A0E" w:rsidRDefault="001B1A0E" w:rsidP="002B0FB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11F6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WPL2a</w:t>
            </w:r>
          </w:p>
          <w:p w:rsidR="001B1A0E" w:rsidRPr="002D6A10" w:rsidRDefault="001B1A0E" w:rsidP="002B0FB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proofErr w:type="spellStart"/>
            <w:r w:rsidRPr="002D6A1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Voltijd</w:t>
            </w:r>
            <w:proofErr w:type="spellEnd"/>
          </w:p>
        </w:tc>
        <w:tc>
          <w:tcPr>
            <w:tcW w:w="2977" w:type="dxa"/>
          </w:tcPr>
          <w:p w:rsidR="001B1A0E" w:rsidRDefault="001B1A0E" w:rsidP="002B0FB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WPL2</w:t>
            </w:r>
          </w:p>
          <w:p w:rsidR="001B1A0E" w:rsidRPr="002D6A10" w:rsidRDefault="001B1A0E" w:rsidP="002B0FB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proofErr w:type="spellStart"/>
            <w:r w:rsidRPr="002D6A1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deeltijd</w:t>
            </w:r>
            <w:proofErr w:type="spellEnd"/>
          </w:p>
        </w:tc>
        <w:tc>
          <w:tcPr>
            <w:tcW w:w="3118" w:type="dxa"/>
          </w:tcPr>
          <w:p w:rsidR="001B1A0E" w:rsidRDefault="001B1A0E" w:rsidP="002B0FB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11F6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WPL2b/</w:t>
            </w:r>
            <w:proofErr w:type="spellStart"/>
            <w:r w:rsidRPr="00811F6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Hoofdfase</w:t>
            </w:r>
            <w:proofErr w:type="spellEnd"/>
            <w:r w:rsidRPr="00811F6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2/KOP</w:t>
            </w:r>
          </w:p>
          <w:p w:rsidR="001B1A0E" w:rsidRPr="002D6A10" w:rsidRDefault="001B1A0E" w:rsidP="002B0FB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proofErr w:type="spellStart"/>
            <w:r w:rsidRPr="002D6A10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Voltijd</w:t>
            </w:r>
            <w:proofErr w:type="spellEnd"/>
          </w:p>
        </w:tc>
        <w:tc>
          <w:tcPr>
            <w:tcW w:w="2836" w:type="dxa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</w:pPr>
            <w:r w:rsidRPr="000E44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>WPL3/Hoofdfase3/KOP/</w:t>
            </w:r>
            <w:proofErr w:type="spellStart"/>
            <w:r w:rsidRPr="000E44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>Dt</w:t>
            </w:r>
            <w:proofErr w:type="spellEnd"/>
            <w:r w:rsidRPr="000E44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l-NL"/>
              </w:rPr>
              <w:t xml:space="preserve"> </w:t>
            </w:r>
            <w:r w:rsidRPr="000E44CB">
              <w:rPr>
                <w:rFonts w:asciiTheme="majorHAnsi" w:hAnsiTheme="majorHAnsi" w:cstheme="majorHAnsi"/>
                <w:bCs/>
                <w:i/>
                <w:sz w:val="20"/>
                <w:szCs w:val="20"/>
                <w:lang w:val="nl-NL"/>
              </w:rPr>
              <w:t>Voltijd &amp; deeltijd</w:t>
            </w:r>
          </w:p>
        </w:tc>
      </w:tr>
      <w:tr w:rsidR="001B1A0E" w:rsidRPr="001B1A0E" w:rsidTr="001B1A0E">
        <w:tc>
          <w:tcPr>
            <w:tcW w:w="1560" w:type="dxa"/>
            <w:vMerge w:val="restart"/>
            <w:shd w:val="clear" w:color="auto" w:fill="auto"/>
            <w:textDirection w:val="btLr"/>
          </w:tcPr>
          <w:p w:rsidR="001B1A0E" w:rsidRDefault="001B1A0E" w:rsidP="001B1A0E">
            <w:pPr>
              <w:ind w:left="113" w:right="113"/>
              <w:rPr>
                <w:b/>
                <w:bCs/>
                <w:color w:val="92D050"/>
                <w:sz w:val="20"/>
                <w:szCs w:val="20"/>
              </w:rPr>
            </w:pPr>
            <w:proofErr w:type="spellStart"/>
            <w:r w:rsidRPr="0096181C">
              <w:rPr>
                <w:b/>
                <w:bCs/>
                <w:color w:val="92D050"/>
                <w:sz w:val="20"/>
                <w:szCs w:val="20"/>
              </w:rPr>
              <w:t>Beroeps</w:t>
            </w:r>
            <w:proofErr w:type="spellEnd"/>
            <w:r>
              <w:rPr>
                <w:b/>
                <w:bCs/>
                <w:color w:val="92D050"/>
                <w:sz w:val="20"/>
                <w:szCs w:val="20"/>
              </w:rPr>
              <w:t>-</w:t>
            </w:r>
          </w:p>
          <w:p w:rsidR="001B1A0E" w:rsidRPr="000D04DD" w:rsidRDefault="001B1A0E" w:rsidP="001B1A0E">
            <w:pPr>
              <w:ind w:left="113" w:right="113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96181C">
              <w:rPr>
                <w:b/>
                <w:bCs/>
                <w:color w:val="92D050"/>
                <w:sz w:val="20"/>
                <w:szCs w:val="20"/>
              </w:rPr>
              <w:t>gerichte</w:t>
            </w:r>
            <w:proofErr w:type="spellEnd"/>
            <w:r w:rsidRPr="0096181C">
              <w:rPr>
                <w:b/>
                <w:bCs/>
                <w:color w:val="92D050"/>
                <w:sz w:val="20"/>
                <w:szCs w:val="20"/>
              </w:rPr>
              <w:t xml:space="preserve"> </w:t>
            </w:r>
            <w:proofErr w:type="spellStart"/>
            <w:r w:rsidRPr="0096181C">
              <w:rPr>
                <w:b/>
                <w:bCs/>
                <w:color w:val="92D050"/>
                <w:sz w:val="20"/>
                <w:szCs w:val="20"/>
              </w:rPr>
              <w:t>activerende</w:t>
            </w:r>
            <w:proofErr w:type="spellEnd"/>
            <w:r w:rsidRPr="0096181C">
              <w:rPr>
                <w:b/>
                <w:bCs/>
                <w:color w:val="92D050"/>
                <w:sz w:val="20"/>
                <w:szCs w:val="20"/>
              </w:rPr>
              <w:t xml:space="preserve"> </w:t>
            </w:r>
            <w:proofErr w:type="spellStart"/>
            <w:r w:rsidRPr="0096181C">
              <w:rPr>
                <w:b/>
                <w:bCs/>
                <w:color w:val="92D050"/>
                <w:sz w:val="20"/>
                <w:szCs w:val="20"/>
              </w:rPr>
              <w:t>didactiek</w:t>
            </w:r>
            <w:proofErr w:type="spellEnd"/>
          </w:p>
        </w:tc>
        <w:tc>
          <w:tcPr>
            <w:tcW w:w="1842" w:type="dxa"/>
          </w:tcPr>
          <w:p w:rsidR="001B1A0E" w:rsidRPr="0003024C" w:rsidRDefault="001B1A0E" w:rsidP="002B0F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617" w:type="dxa"/>
            <w:gridSpan w:val="4"/>
            <w:shd w:val="clear" w:color="auto" w:fill="DEEAF6" w:themeFill="accent5" w:themeFillTint="33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Eerst de theorie over activerende beroepsgerichte didactiek en kijken hoe dit in de praktijk wordt toegepast. Daarna steeds grotere zelfstandigheid in het ontwerpen en uiteindelijk uitvoeren hiervan. </w:t>
            </w:r>
          </w:p>
        </w:tc>
      </w:tr>
      <w:tr w:rsidR="001B1A0E" w:rsidRPr="00811F63" w:rsidTr="001B1A0E">
        <w:tc>
          <w:tcPr>
            <w:tcW w:w="1560" w:type="dxa"/>
            <w:vMerge/>
            <w:textDirection w:val="btLr"/>
          </w:tcPr>
          <w:p w:rsidR="001B1A0E" w:rsidRPr="000E44CB" w:rsidRDefault="001B1A0E" w:rsidP="001B1A0E">
            <w:pPr>
              <w:ind w:left="113" w:right="113"/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</w:p>
        </w:tc>
        <w:tc>
          <w:tcPr>
            <w:tcW w:w="1842" w:type="dxa"/>
          </w:tcPr>
          <w:p w:rsidR="001B1A0E" w:rsidRPr="00811F63" w:rsidRDefault="001B1A0E" w:rsidP="002B0FB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Kennismaking</w:t>
            </w:r>
            <w:proofErr w:type="spellEnd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mbo</w:t>
            </w:r>
            <w:proofErr w:type="spellEnd"/>
          </w:p>
        </w:tc>
        <w:tc>
          <w:tcPr>
            <w:tcW w:w="3686" w:type="dxa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Lesgevende taak staat centraal; ontwerpen en lesgeven</w:t>
            </w:r>
          </w:p>
        </w:tc>
        <w:tc>
          <w:tcPr>
            <w:tcW w:w="2977" w:type="dxa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Aandacht voor lesgeven en ontwerpen, gevolgd door uitvoeren beroepsgerichte activerende didactiek</w:t>
            </w:r>
          </w:p>
        </w:tc>
        <w:tc>
          <w:tcPr>
            <w:tcW w:w="3118" w:type="dxa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Uitvoeren beroepsgerichte activerende didactiek (d.m.v. gestuurde opdracht)</w:t>
            </w:r>
          </w:p>
        </w:tc>
        <w:tc>
          <w:tcPr>
            <w:tcW w:w="2836" w:type="dxa"/>
          </w:tcPr>
          <w:p w:rsidR="001B1A0E" w:rsidRPr="00811F63" w:rsidRDefault="001B1A0E" w:rsidP="002B0F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Uitvoeren</w:t>
            </w:r>
            <w:proofErr w:type="spellEnd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 xml:space="preserve"> beroepsgerichte </w:t>
            </w:r>
            <w:proofErr w:type="spellStart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activerende</w:t>
            </w:r>
            <w:proofErr w:type="spellEnd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didactiek</w:t>
            </w:r>
            <w:proofErr w:type="spellEnd"/>
          </w:p>
        </w:tc>
      </w:tr>
      <w:tr w:rsidR="001B1A0E" w:rsidRPr="001B1A0E" w:rsidTr="001B1A0E">
        <w:trPr>
          <w:trHeight w:val="566"/>
        </w:trPr>
        <w:tc>
          <w:tcPr>
            <w:tcW w:w="1560" w:type="dxa"/>
            <w:vMerge w:val="restart"/>
            <w:textDirection w:val="btLr"/>
          </w:tcPr>
          <w:p w:rsidR="001B1A0E" w:rsidRPr="0096181C" w:rsidRDefault="001B1A0E" w:rsidP="001B1A0E">
            <w:pPr>
              <w:spacing w:after="160"/>
              <w:ind w:left="113" w:right="113"/>
              <w:rPr>
                <w:b/>
                <w:bCs/>
                <w:color w:val="FC0CF1"/>
                <w:sz w:val="18"/>
                <w:szCs w:val="18"/>
              </w:rPr>
            </w:pPr>
            <w:proofErr w:type="spellStart"/>
            <w:r w:rsidRPr="0096181C">
              <w:rPr>
                <w:b/>
                <w:bCs/>
                <w:color w:val="FC0CF1"/>
                <w:sz w:val="18"/>
                <w:szCs w:val="18"/>
              </w:rPr>
              <w:t>Rollen</w:t>
            </w:r>
            <w:proofErr w:type="spellEnd"/>
            <w:r w:rsidRPr="0096181C">
              <w:rPr>
                <w:b/>
                <w:bCs/>
                <w:color w:val="FC0CF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C0CF1"/>
                <w:sz w:val="18"/>
                <w:szCs w:val="18"/>
              </w:rPr>
              <w:t>mbo</w:t>
            </w:r>
            <w:proofErr w:type="spellEnd"/>
            <w:r w:rsidRPr="0096181C">
              <w:rPr>
                <w:b/>
                <w:bCs/>
                <w:color w:val="FC0CF1"/>
                <w:sz w:val="18"/>
                <w:szCs w:val="18"/>
              </w:rPr>
              <w:t>-docent</w:t>
            </w:r>
          </w:p>
          <w:p w:rsidR="001B1A0E" w:rsidRPr="00811F63" w:rsidRDefault="001B1A0E" w:rsidP="001B1A0E">
            <w:pPr>
              <w:ind w:left="113" w:right="11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EEAF6" w:themeFill="accent5" w:themeFillTint="33"/>
          </w:tcPr>
          <w:p w:rsidR="001B1A0E" w:rsidRPr="0003024C" w:rsidRDefault="001B1A0E" w:rsidP="002B0F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617" w:type="dxa"/>
            <w:gridSpan w:val="4"/>
            <w:shd w:val="clear" w:color="auto" w:fill="DEEAF6" w:themeFill="accent5" w:themeFillTint="33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Gedurende de stages steeds meer kennis maken met verschillende rollen en deze in opbouwende mate in praktijk mogen uitvoeren. </w:t>
            </w:r>
          </w:p>
        </w:tc>
      </w:tr>
      <w:tr w:rsidR="001B1A0E" w:rsidRPr="001B1A0E" w:rsidTr="001B1A0E">
        <w:tc>
          <w:tcPr>
            <w:tcW w:w="1560" w:type="dxa"/>
            <w:vMerge/>
            <w:textDirection w:val="btLr"/>
          </w:tcPr>
          <w:p w:rsidR="001B1A0E" w:rsidRPr="000E44CB" w:rsidRDefault="001B1A0E" w:rsidP="001B1A0E">
            <w:pPr>
              <w:ind w:left="113" w:right="113"/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</w:p>
        </w:tc>
        <w:tc>
          <w:tcPr>
            <w:tcW w:w="1842" w:type="dxa"/>
          </w:tcPr>
          <w:p w:rsidR="001B1A0E" w:rsidRPr="00811F63" w:rsidRDefault="001B1A0E" w:rsidP="002B0FB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kennismaken</w:t>
            </w:r>
            <w:proofErr w:type="spellEnd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ollen</w:t>
            </w:r>
            <w:proofErr w:type="spellEnd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mbo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811F63">
              <w:rPr>
                <w:rFonts w:asciiTheme="majorHAnsi" w:hAnsiTheme="majorHAnsi" w:cstheme="majorHAnsi"/>
                <w:sz w:val="18"/>
                <w:szCs w:val="18"/>
              </w:rPr>
              <w:t xml:space="preserve">docent </w:t>
            </w:r>
          </w:p>
        </w:tc>
        <w:tc>
          <w:tcPr>
            <w:tcW w:w="3686" w:type="dxa"/>
          </w:tcPr>
          <w:p w:rsidR="001B1A0E" w:rsidRPr="00811F63" w:rsidRDefault="001B1A0E" w:rsidP="002B0F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Inzoomen</w:t>
            </w:r>
            <w:proofErr w:type="spellEnd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rollen</w:t>
            </w:r>
            <w:proofErr w:type="spellEnd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mbo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-docent</w:t>
            </w:r>
          </w:p>
        </w:tc>
        <w:tc>
          <w:tcPr>
            <w:tcW w:w="2977" w:type="dxa"/>
          </w:tcPr>
          <w:p w:rsidR="001B1A0E" w:rsidRPr="00811F63" w:rsidRDefault="001B1A0E" w:rsidP="002B0F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Inzoomen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rollen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mbo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-docent</w:t>
            </w:r>
          </w:p>
        </w:tc>
        <w:tc>
          <w:tcPr>
            <w:tcW w:w="3118" w:type="dxa"/>
          </w:tcPr>
          <w:p w:rsidR="001B1A0E" w:rsidRPr="00811F63" w:rsidRDefault="001B1A0E" w:rsidP="002B0FB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Inzoomen</w:t>
            </w:r>
            <w:proofErr w:type="spellEnd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rollen</w:t>
            </w:r>
            <w:proofErr w:type="spellEnd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mbo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docent:</w:t>
            </w:r>
          </w:p>
        </w:tc>
        <w:tc>
          <w:tcPr>
            <w:tcW w:w="2836" w:type="dxa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Uitvoeren verschillende rollen </w:t>
            </w:r>
            <w:r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mbo-</w:t>
            </w: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docent:</w:t>
            </w:r>
          </w:p>
        </w:tc>
      </w:tr>
      <w:tr w:rsidR="001B1A0E" w:rsidRPr="00811F63" w:rsidTr="001B1A0E">
        <w:tc>
          <w:tcPr>
            <w:tcW w:w="1560" w:type="dxa"/>
            <w:vMerge/>
            <w:textDirection w:val="btLr"/>
          </w:tcPr>
          <w:p w:rsidR="001B1A0E" w:rsidRPr="000E44CB" w:rsidRDefault="001B1A0E" w:rsidP="001B1A0E">
            <w:pPr>
              <w:ind w:left="113" w:right="113"/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</w:p>
        </w:tc>
        <w:tc>
          <w:tcPr>
            <w:tcW w:w="1842" w:type="dxa"/>
            <w:vMerge w:val="restart"/>
          </w:tcPr>
          <w:p w:rsidR="001B1A0E" w:rsidRPr="000E44CB" w:rsidRDefault="001B1A0E" w:rsidP="002B0FB1">
            <w:pPr>
              <w:rPr>
                <w:rFonts w:asciiTheme="majorHAnsi" w:hAnsiTheme="majorHAnsi" w:cstheme="majorBid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>Kijken in team (dagdelen)</w:t>
            </w:r>
          </w:p>
          <w:p w:rsidR="001B1A0E" w:rsidRPr="000E44CB" w:rsidRDefault="001B1A0E" w:rsidP="002B0FB1">
            <w:pPr>
              <w:rPr>
                <w:rFonts w:asciiTheme="majorHAnsi" w:hAnsiTheme="majorHAnsi" w:cstheme="majorBid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>Lesdelen verzorgen</w:t>
            </w:r>
          </w:p>
        </w:tc>
        <w:tc>
          <w:tcPr>
            <w:tcW w:w="3686" w:type="dxa"/>
            <w:vMerge w:val="restart"/>
          </w:tcPr>
          <w:p w:rsidR="001B1A0E" w:rsidRPr="000E44CB" w:rsidRDefault="001B1A0E" w:rsidP="002B0FB1">
            <w:pPr>
              <w:rPr>
                <w:rFonts w:asciiTheme="majorHAnsi" w:hAnsiTheme="majorHAnsi" w:cstheme="majorBid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Bidi"/>
                <w:sz w:val="18"/>
                <w:szCs w:val="18"/>
                <w:lang w:val="nl-NL"/>
              </w:rPr>
              <w:t>Kijken en zo mogelijk participeren  in team  (dagen)</w:t>
            </w:r>
          </w:p>
          <w:p w:rsidR="001B1A0E" w:rsidRPr="0003024C" w:rsidRDefault="001B1A0E" w:rsidP="002B0FB1">
            <w:pPr>
              <w:rPr>
                <w:rFonts w:asciiTheme="majorHAnsi" w:hAnsiTheme="majorHAnsi" w:cstheme="majorBidi"/>
                <w:sz w:val="18"/>
                <w:szCs w:val="18"/>
              </w:rPr>
            </w:pPr>
            <w:proofErr w:type="spellStart"/>
            <w:r w:rsidRPr="267944FB">
              <w:rPr>
                <w:rFonts w:asciiTheme="majorHAnsi" w:hAnsiTheme="majorHAnsi" w:cstheme="majorBidi"/>
                <w:sz w:val="18"/>
                <w:szCs w:val="18"/>
              </w:rPr>
              <w:t>Enkele</w:t>
            </w:r>
            <w:proofErr w:type="spellEnd"/>
            <w:r w:rsidRPr="267944FB">
              <w:rPr>
                <w:rFonts w:asciiTheme="majorHAnsi" w:hAnsiTheme="majorHAnsi" w:cstheme="majorBidi"/>
                <w:sz w:val="18"/>
                <w:szCs w:val="18"/>
              </w:rPr>
              <w:t xml:space="preserve"> lessen </w:t>
            </w:r>
            <w:proofErr w:type="spellStart"/>
            <w:r w:rsidRPr="267944FB">
              <w:rPr>
                <w:rFonts w:asciiTheme="majorHAnsi" w:hAnsiTheme="majorHAnsi" w:cstheme="majorBidi"/>
                <w:sz w:val="18"/>
                <w:szCs w:val="18"/>
              </w:rPr>
              <w:t>verzorgen</w:t>
            </w:r>
            <w:proofErr w:type="spellEnd"/>
          </w:p>
        </w:tc>
        <w:tc>
          <w:tcPr>
            <w:tcW w:w="2977" w:type="dxa"/>
          </w:tcPr>
          <w:p w:rsidR="001B1A0E" w:rsidRPr="00811F63" w:rsidRDefault="001B1A0E" w:rsidP="001B1A0E">
            <w:pPr>
              <w:pStyle w:val="Lijstaline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Teamlid</w:t>
            </w:r>
            <w:proofErr w:type="spellEnd"/>
          </w:p>
        </w:tc>
        <w:tc>
          <w:tcPr>
            <w:tcW w:w="3118" w:type="dxa"/>
          </w:tcPr>
          <w:p w:rsidR="001B1A0E" w:rsidRPr="00811F63" w:rsidRDefault="001B1A0E" w:rsidP="001B1A0E">
            <w:pPr>
              <w:pStyle w:val="Lijstalinea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Teamlid</w:t>
            </w:r>
            <w:proofErr w:type="spellEnd"/>
          </w:p>
        </w:tc>
        <w:tc>
          <w:tcPr>
            <w:tcW w:w="2836" w:type="dxa"/>
          </w:tcPr>
          <w:p w:rsidR="001B1A0E" w:rsidRPr="00811F63" w:rsidRDefault="001B1A0E" w:rsidP="001B1A0E">
            <w:pPr>
              <w:pStyle w:val="Lijstalinea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Volwaardig</w:t>
            </w:r>
            <w:proofErr w:type="spellEnd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teamlid</w:t>
            </w:r>
            <w:proofErr w:type="spellEnd"/>
          </w:p>
        </w:tc>
      </w:tr>
      <w:tr w:rsidR="001B1A0E" w:rsidRPr="001B1A0E" w:rsidTr="001B1A0E">
        <w:tc>
          <w:tcPr>
            <w:tcW w:w="1560" w:type="dxa"/>
            <w:vMerge/>
            <w:textDirection w:val="btLr"/>
          </w:tcPr>
          <w:p w:rsidR="001B1A0E" w:rsidRPr="00811F63" w:rsidRDefault="001B1A0E" w:rsidP="001B1A0E">
            <w:pPr>
              <w:ind w:left="113" w:right="11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B1A0E" w:rsidRPr="00811F63" w:rsidRDefault="001B1A0E" w:rsidP="002B0F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1B1A0E" w:rsidRPr="00811F63" w:rsidRDefault="001B1A0E" w:rsidP="002B0F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</w:tcPr>
          <w:p w:rsidR="001B1A0E" w:rsidRPr="00811F63" w:rsidRDefault="001B1A0E" w:rsidP="001B1A0E">
            <w:pPr>
              <w:pStyle w:val="Lijstalinea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811F63">
              <w:rPr>
                <w:rFonts w:asciiTheme="majorHAnsi" w:hAnsiTheme="majorHAnsi" w:cstheme="majorHAnsi"/>
                <w:sz w:val="18"/>
                <w:szCs w:val="18"/>
              </w:rPr>
              <w:t xml:space="preserve">BPV </w:t>
            </w:r>
            <w:proofErr w:type="spellStart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begeleiding</w:t>
            </w:r>
            <w:proofErr w:type="spellEnd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kennismaken</w:t>
            </w:r>
            <w:proofErr w:type="spellEnd"/>
          </w:p>
        </w:tc>
        <w:tc>
          <w:tcPr>
            <w:tcW w:w="3118" w:type="dxa"/>
          </w:tcPr>
          <w:p w:rsidR="001B1A0E" w:rsidRPr="00811F63" w:rsidRDefault="001B1A0E" w:rsidP="001B1A0E">
            <w:pPr>
              <w:pStyle w:val="Lijstalinea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811F63">
              <w:rPr>
                <w:rFonts w:asciiTheme="majorHAnsi" w:hAnsiTheme="majorHAnsi" w:cstheme="majorHAnsi"/>
                <w:sz w:val="18"/>
                <w:szCs w:val="18"/>
              </w:rPr>
              <w:t xml:space="preserve">BPV </w:t>
            </w:r>
            <w:proofErr w:type="spellStart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begeleiding</w:t>
            </w:r>
            <w:proofErr w:type="spellEnd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kennismaken</w:t>
            </w:r>
            <w:proofErr w:type="spellEnd"/>
          </w:p>
        </w:tc>
        <w:tc>
          <w:tcPr>
            <w:tcW w:w="2836" w:type="dxa"/>
          </w:tcPr>
          <w:p w:rsidR="001B1A0E" w:rsidRPr="000E44CB" w:rsidRDefault="001B1A0E" w:rsidP="001B1A0E">
            <w:pPr>
              <w:pStyle w:val="Lijstalinea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BPV begeleiding kennismaken en evt. mee uitvoeren</w:t>
            </w:r>
          </w:p>
        </w:tc>
      </w:tr>
      <w:tr w:rsidR="001B1A0E" w:rsidRPr="00811F63" w:rsidTr="001B1A0E">
        <w:tc>
          <w:tcPr>
            <w:tcW w:w="1560" w:type="dxa"/>
            <w:vMerge/>
            <w:textDirection w:val="btLr"/>
          </w:tcPr>
          <w:p w:rsidR="001B1A0E" w:rsidRPr="000E44CB" w:rsidRDefault="001B1A0E" w:rsidP="001B1A0E">
            <w:pPr>
              <w:ind w:left="113" w:right="113"/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</w:p>
        </w:tc>
        <w:tc>
          <w:tcPr>
            <w:tcW w:w="1842" w:type="dxa"/>
            <w:vMerge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vMerge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</w:p>
        </w:tc>
        <w:tc>
          <w:tcPr>
            <w:tcW w:w="2977" w:type="dxa"/>
          </w:tcPr>
          <w:p w:rsidR="001B1A0E" w:rsidRPr="00811F63" w:rsidRDefault="001B1A0E" w:rsidP="001B1A0E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Examinering</w:t>
            </w:r>
            <w:proofErr w:type="spellEnd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meekijken</w:t>
            </w:r>
            <w:proofErr w:type="spellEnd"/>
          </w:p>
        </w:tc>
        <w:tc>
          <w:tcPr>
            <w:tcW w:w="3118" w:type="dxa"/>
          </w:tcPr>
          <w:p w:rsidR="001B1A0E" w:rsidRPr="00811F63" w:rsidRDefault="001B1A0E" w:rsidP="001B1A0E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Examinering</w:t>
            </w:r>
            <w:proofErr w:type="spellEnd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meekijken</w:t>
            </w:r>
            <w:proofErr w:type="spellEnd"/>
          </w:p>
        </w:tc>
        <w:tc>
          <w:tcPr>
            <w:tcW w:w="2836" w:type="dxa"/>
          </w:tcPr>
          <w:p w:rsidR="001B1A0E" w:rsidRPr="00811F63" w:rsidRDefault="001B1A0E" w:rsidP="001B1A0E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Mee</w:t>
            </w:r>
            <w:proofErr w:type="spellEnd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uitvoeren</w:t>
            </w:r>
            <w:proofErr w:type="spellEnd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811F63">
              <w:rPr>
                <w:rFonts w:asciiTheme="majorHAnsi" w:hAnsiTheme="majorHAnsi" w:cstheme="majorHAnsi"/>
                <w:sz w:val="18"/>
                <w:szCs w:val="18"/>
              </w:rPr>
              <w:t>examinering</w:t>
            </w:r>
            <w:proofErr w:type="spellEnd"/>
          </w:p>
        </w:tc>
      </w:tr>
      <w:tr w:rsidR="001B1A0E" w:rsidRPr="00811F63" w:rsidTr="001B1A0E">
        <w:trPr>
          <w:trHeight w:val="225"/>
        </w:trPr>
        <w:tc>
          <w:tcPr>
            <w:tcW w:w="1560" w:type="dxa"/>
            <w:vMerge/>
            <w:textDirection w:val="btLr"/>
          </w:tcPr>
          <w:p w:rsidR="001B1A0E" w:rsidRPr="00811F63" w:rsidRDefault="001B1A0E" w:rsidP="001B1A0E">
            <w:pPr>
              <w:ind w:left="113" w:right="11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B1A0E" w:rsidRPr="00811F63" w:rsidRDefault="001B1A0E" w:rsidP="002B0F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1B1A0E" w:rsidRPr="00811F63" w:rsidRDefault="001B1A0E" w:rsidP="002B0F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1B1A0E" w:rsidRPr="00811F63" w:rsidRDefault="001B1A0E" w:rsidP="001B1A0E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Samenhangende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lessen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verzorgen</w:t>
            </w:r>
            <w:proofErr w:type="spellEnd"/>
          </w:p>
        </w:tc>
        <w:tc>
          <w:tcPr>
            <w:tcW w:w="3118" w:type="dxa"/>
            <w:vMerge w:val="restart"/>
          </w:tcPr>
          <w:p w:rsidR="001B1A0E" w:rsidRPr="00811F63" w:rsidRDefault="001B1A0E" w:rsidP="001B1A0E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Samenhangende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lessen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verzorgen</w:t>
            </w:r>
            <w:proofErr w:type="spellEnd"/>
          </w:p>
        </w:tc>
        <w:tc>
          <w:tcPr>
            <w:tcW w:w="2836" w:type="dxa"/>
          </w:tcPr>
          <w:p w:rsidR="001B1A0E" w:rsidRPr="00811F63" w:rsidRDefault="001B1A0E" w:rsidP="001B1A0E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Duo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slb-er</w:t>
            </w:r>
            <w:proofErr w:type="spellEnd"/>
          </w:p>
        </w:tc>
      </w:tr>
      <w:tr w:rsidR="001B1A0E" w:rsidRPr="00811F63" w:rsidTr="001B1A0E">
        <w:trPr>
          <w:trHeight w:val="225"/>
        </w:trPr>
        <w:tc>
          <w:tcPr>
            <w:tcW w:w="1560" w:type="dxa"/>
            <w:vMerge/>
            <w:textDirection w:val="btLr"/>
          </w:tcPr>
          <w:p w:rsidR="001B1A0E" w:rsidRPr="00811F63" w:rsidRDefault="001B1A0E" w:rsidP="001B1A0E">
            <w:pPr>
              <w:ind w:left="113" w:right="113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B1A0E" w:rsidRPr="00811F63" w:rsidRDefault="001B1A0E" w:rsidP="002B0F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1B1A0E" w:rsidRPr="00811F63" w:rsidRDefault="001B1A0E" w:rsidP="002B0F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1B1A0E" w:rsidRDefault="001B1A0E" w:rsidP="001B1A0E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1B1A0E" w:rsidRDefault="001B1A0E" w:rsidP="001B1A0E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6" w:type="dxa"/>
          </w:tcPr>
          <w:p w:rsidR="001B1A0E" w:rsidRDefault="001B1A0E" w:rsidP="001B1A0E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Zelf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verantwoordelijk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lesgeven</w:t>
            </w:r>
            <w:proofErr w:type="spellEnd"/>
          </w:p>
        </w:tc>
      </w:tr>
      <w:tr w:rsidR="001B1A0E" w:rsidRPr="001B1A0E" w:rsidTr="001B1A0E">
        <w:tc>
          <w:tcPr>
            <w:tcW w:w="1560" w:type="dxa"/>
            <w:vMerge w:val="restart"/>
            <w:textDirection w:val="btLr"/>
          </w:tcPr>
          <w:p w:rsidR="001B1A0E" w:rsidRPr="0011117D" w:rsidRDefault="001B1A0E" w:rsidP="001B1A0E">
            <w:pPr>
              <w:spacing w:after="160"/>
              <w:ind w:left="113" w:right="113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96181C">
              <w:rPr>
                <w:b/>
                <w:bCs/>
                <w:color w:val="00B0F0"/>
                <w:sz w:val="20"/>
                <w:szCs w:val="20"/>
              </w:rPr>
              <w:t>Leerlijn</w:t>
            </w:r>
            <w:proofErr w:type="spellEnd"/>
            <w:r w:rsidRPr="0096181C">
              <w:rPr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96181C">
              <w:rPr>
                <w:b/>
                <w:bCs/>
                <w:color w:val="00B0F0"/>
                <w:sz w:val="20"/>
                <w:szCs w:val="20"/>
              </w:rPr>
              <w:t>kritisch</w:t>
            </w:r>
            <w:proofErr w:type="spellEnd"/>
            <w:r w:rsidRPr="0096181C">
              <w:rPr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96181C">
              <w:rPr>
                <w:b/>
                <w:bCs/>
                <w:color w:val="00B0F0"/>
                <w:sz w:val="20"/>
                <w:szCs w:val="20"/>
              </w:rPr>
              <w:t>onderzoekende</w:t>
            </w:r>
            <w:proofErr w:type="spellEnd"/>
            <w:r w:rsidRPr="0096181C">
              <w:rPr>
                <w:b/>
                <w:bCs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96181C">
              <w:rPr>
                <w:b/>
                <w:bCs/>
                <w:color w:val="00B0F0"/>
                <w:sz w:val="20"/>
                <w:szCs w:val="20"/>
              </w:rPr>
              <w:t>houding</w:t>
            </w:r>
            <w:proofErr w:type="spellEnd"/>
          </w:p>
        </w:tc>
        <w:tc>
          <w:tcPr>
            <w:tcW w:w="1842" w:type="dxa"/>
            <w:shd w:val="clear" w:color="auto" w:fill="DEEAF6" w:themeFill="accent5" w:themeFillTint="33"/>
          </w:tcPr>
          <w:p w:rsidR="001B1A0E" w:rsidRPr="0003024C" w:rsidRDefault="001B1A0E" w:rsidP="002B0FB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617" w:type="dxa"/>
            <w:gridSpan w:val="4"/>
            <w:shd w:val="clear" w:color="auto" w:fill="DEEAF6" w:themeFill="accent5" w:themeFillTint="33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Ruimere keuze uit leerwerktaken en steeds mee autonomie in de uitvoering. Zo </w:t>
            </w:r>
            <w:r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is de </w:t>
            </w: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student in </w:t>
            </w:r>
            <w:proofErr w:type="spellStart"/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the</w:t>
            </w:r>
            <w:proofErr w:type="spellEnd"/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lead en vraag je meer van</w:t>
            </w:r>
            <w:r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de</w:t>
            </w: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student om theorie en praktijk te koppelen</w:t>
            </w:r>
          </w:p>
        </w:tc>
      </w:tr>
      <w:tr w:rsidR="001B1A0E" w:rsidRPr="001B1A0E" w:rsidTr="001B1A0E">
        <w:tc>
          <w:tcPr>
            <w:tcW w:w="1560" w:type="dxa"/>
            <w:vMerge/>
            <w:textDirection w:val="btLr"/>
          </w:tcPr>
          <w:p w:rsidR="001B1A0E" w:rsidRPr="000E44CB" w:rsidRDefault="001B1A0E" w:rsidP="001B1A0E">
            <w:pPr>
              <w:ind w:left="113" w:right="113"/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</w:p>
        </w:tc>
        <w:tc>
          <w:tcPr>
            <w:tcW w:w="1842" w:type="dxa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Onderzoeksmatig uitvoeren van gegeven opdrachten</w:t>
            </w:r>
          </w:p>
        </w:tc>
        <w:tc>
          <w:tcPr>
            <w:tcW w:w="3686" w:type="dxa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Onderzoeksmatig uitvoeren van - gegeven opdrachten opstellen eigen leerdoelen,</w:t>
            </w:r>
          </w:p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en kiezen van opdrachten passend bij eigen ontwikkeling (begeleid)</w:t>
            </w:r>
          </w:p>
        </w:tc>
        <w:tc>
          <w:tcPr>
            <w:tcW w:w="2977" w:type="dxa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Onderzoeksmatig uitvoeren van gegeven opdrachten opstellen eigen leerdoelen,</w:t>
            </w:r>
          </w:p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en kiezen van opdrachten passend bij eigen ontwikkeling (begeleid)</w:t>
            </w:r>
          </w:p>
        </w:tc>
        <w:tc>
          <w:tcPr>
            <w:tcW w:w="3118" w:type="dxa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O</w:t>
            </w: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nderzoeksmatig uitvoeren van gegeven opdrachten opstellen eigen leerdoelen, en kiezen van opdrachten passend bij eigen ontwikkeling.</w:t>
            </w:r>
          </w:p>
        </w:tc>
        <w:tc>
          <w:tcPr>
            <w:tcW w:w="2836" w:type="dxa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O</w:t>
            </w: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nderzoeksmatig uitvoeren van gegeven opdrachten opstellen eigen leerdoelen, en kiezen van opdrachten passend bij eigen ontwikkeling </w:t>
            </w:r>
          </w:p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</w:p>
        </w:tc>
      </w:tr>
      <w:tr w:rsidR="001B1A0E" w:rsidRPr="001B1A0E" w:rsidTr="001B1A0E">
        <w:trPr>
          <w:trHeight w:val="660"/>
        </w:trPr>
        <w:tc>
          <w:tcPr>
            <w:tcW w:w="1560" w:type="dxa"/>
            <w:vMerge w:val="restart"/>
            <w:textDirection w:val="btLr"/>
          </w:tcPr>
          <w:p w:rsidR="001B1A0E" w:rsidRPr="00811F63" w:rsidRDefault="001B1A0E" w:rsidP="001B1A0E">
            <w:pPr>
              <w:pStyle w:val="Geenafstand"/>
              <w:ind w:left="113" w:right="113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6181C">
              <w:rPr>
                <w:b/>
                <w:bCs/>
                <w:color w:val="FFC000"/>
                <w:sz w:val="20"/>
                <w:szCs w:val="20"/>
              </w:rPr>
              <w:t>Koppeling</w:t>
            </w:r>
            <w:proofErr w:type="spellEnd"/>
            <w:r w:rsidRPr="0096181C">
              <w:rPr>
                <w:b/>
                <w:bCs/>
                <w:color w:val="FFC000"/>
                <w:sz w:val="20"/>
                <w:szCs w:val="20"/>
              </w:rPr>
              <w:t xml:space="preserve"> </w:t>
            </w:r>
            <w:proofErr w:type="spellStart"/>
            <w:r w:rsidRPr="0096181C">
              <w:rPr>
                <w:b/>
                <w:bCs/>
                <w:color w:val="FFC000"/>
                <w:sz w:val="20"/>
                <w:szCs w:val="20"/>
              </w:rPr>
              <w:t>theorie</w:t>
            </w:r>
            <w:proofErr w:type="spellEnd"/>
            <w:r w:rsidRPr="0096181C">
              <w:rPr>
                <w:b/>
                <w:bCs/>
                <w:color w:val="FFC000"/>
                <w:sz w:val="20"/>
                <w:szCs w:val="20"/>
              </w:rPr>
              <w:t xml:space="preserve"> en </w:t>
            </w:r>
            <w:proofErr w:type="spellStart"/>
            <w:r w:rsidRPr="0096181C">
              <w:rPr>
                <w:b/>
                <w:bCs/>
                <w:color w:val="FFC000"/>
                <w:sz w:val="20"/>
                <w:szCs w:val="20"/>
              </w:rPr>
              <w:t>praktijk</w:t>
            </w:r>
            <w:proofErr w:type="spellEnd"/>
            <w:r w:rsidRPr="0096181C">
              <w:rPr>
                <w:rFonts w:asciiTheme="majorHAnsi" w:hAnsiTheme="majorHAnsi" w:cstheme="majorHAnsi"/>
                <w:color w:val="FFC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De docent</w:t>
            </w:r>
            <w:r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in opleiding</w:t>
            </w: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maakt kennis met de koppeling tussen theorie en praktijk in reflecties onder begeleiding van de </w:t>
            </w:r>
            <w:r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WPB</w:t>
            </w: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.</w:t>
            </w:r>
            <w:r w:rsidRPr="000E44CB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De docent</w:t>
            </w:r>
            <w:r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in opleiding</w:t>
            </w: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zoekt samen met de </w:t>
            </w:r>
            <w:r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WPB</w:t>
            </w: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geschikte </w:t>
            </w: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leerwerktaken</w:t>
            </w:r>
            <w:r w:rsidRPr="00811F63">
              <w:rPr>
                <w:rStyle w:val="Voetnootmarkering"/>
                <w:rFonts w:asciiTheme="majorHAnsi" w:hAnsiTheme="majorHAnsi" w:cstheme="majorHAnsi"/>
              </w:rPr>
              <w:footnoteReference w:id="1"/>
            </w:r>
            <w:r w:rsidRPr="000E44CB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.</w:t>
            </w:r>
          </w:p>
        </w:tc>
        <w:tc>
          <w:tcPr>
            <w:tcW w:w="2977" w:type="dxa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De docent</w:t>
            </w:r>
            <w:r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in opleiding</w:t>
            </w: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zoekt leerwerktaken uit om zijn leerdoelen te realiseren.</w:t>
            </w:r>
          </w:p>
        </w:tc>
        <w:tc>
          <w:tcPr>
            <w:tcW w:w="3118" w:type="dxa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De docent</w:t>
            </w:r>
            <w:r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in opleiding</w:t>
            </w: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zoekt leerwerktaken uit om zijn leerdoelen te realiseren.</w:t>
            </w:r>
          </w:p>
        </w:tc>
        <w:tc>
          <w:tcPr>
            <w:tcW w:w="2836" w:type="dxa"/>
            <w:vMerge w:val="restart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De docent</w:t>
            </w:r>
            <w:r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in opleiding</w:t>
            </w: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is in staat op zelfstandig de koppeling tussen praktijk en theorie te leggen.</w:t>
            </w:r>
          </w:p>
        </w:tc>
      </w:tr>
      <w:tr w:rsidR="001B1A0E" w:rsidRPr="001B1A0E" w:rsidTr="001B1A0E">
        <w:trPr>
          <w:trHeight w:val="660"/>
        </w:trPr>
        <w:tc>
          <w:tcPr>
            <w:tcW w:w="1560" w:type="dxa"/>
            <w:vMerge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</w:p>
        </w:tc>
        <w:tc>
          <w:tcPr>
            <w:tcW w:w="1842" w:type="dxa"/>
            <w:vMerge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  <w:vMerge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</w:p>
        </w:tc>
        <w:tc>
          <w:tcPr>
            <w:tcW w:w="2977" w:type="dxa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In reflecties legt de docent</w:t>
            </w:r>
            <w:r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in opleiding</w:t>
            </w: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de koppeling tussen theorie en praktijk.</w:t>
            </w:r>
          </w:p>
        </w:tc>
        <w:tc>
          <w:tcPr>
            <w:tcW w:w="3118" w:type="dxa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In reflecties legt de docent</w:t>
            </w:r>
            <w:r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in opleiding</w:t>
            </w: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de koppeling tussen theorie en praktijk.</w:t>
            </w:r>
          </w:p>
        </w:tc>
        <w:tc>
          <w:tcPr>
            <w:tcW w:w="2836" w:type="dxa"/>
            <w:vMerge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</w:p>
        </w:tc>
      </w:tr>
      <w:tr w:rsidR="001B1A0E" w:rsidRPr="001B1A0E" w:rsidTr="001B1A0E">
        <w:trPr>
          <w:trHeight w:val="660"/>
        </w:trPr>
        <w:tc>
          <w:tcPr>
            <w:tcW w:w="1560" w:type="dxa"/>
            <w:vMerge w:val="restart"/>
            <w:textDirection w:val="btLr"/>
          </w:tcPr>
          <w:p w:rsidR="001B1A0E" w:rsidRPr="00811F63" w:rsidRDefault="001B1A0E" w:rsidP="001B1A0E">
            <w:pPr>
              <w:pStyle w:val="Geenafstand"/>
              <w:ind w:left="113" w:right="113"/>
              <w:rPr>
                <w:rFonts w:asciiTheme="majorHAnsi" w:hAnsiTheme="majorHAnsi" w:cstheme="majorHAnsi"/>
                <w:sz w:val="18"/>
                <w:szCs w:val="18"/>
              </w:rPr>
            </w:pPr>
            <w:r w:rsidRPr="0096181C">
              <w:rPr>
                <w:b/>
                <w:bCs/>
                <w:color w:val="7030A0"/>
                <w:sz w:val="20"/>
                <w:szCs w:val="20"/>
              </w:rPr>
              <w:t xml:space="preserve">Docent in </w:t>
            </w:r>
            <w:proofErr w:type="spellStart"/>
            <w:r w:rsidRPr="0096181C">
              <w:rPr>
                <w:b/>
                <w:bCs/>
                <w:color w:val="7030A0"/>
                <w:sz w:val="20"/>
                <w:szCs w:val="20"/>
              </w:rPr>
              <w:t>opleiding</w:t>
            </w:r>
            <w:proofErr w:type="spellEnd"/>
            <w:r w:rsidRPr="0096181C">
              <w:rPr>
                <w:b/>
                <w:bCs/>
                <w:color w:val="7030A0"/>
                <w:sz w:val="20"/>
                <w:szCs w:val="20"/>
              </w:rPr>
              <w:t xml:space="preserve">  in the lead</w:t>
            </w:r>
          </w:p>
        </w:tc>
        <w:tc>
          <w:tcPr>
            <w:tcW w:w="1842" w:type="dxa"/>
            <w:vMerge w:val="restart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De docent</w:t>
            </w:r>
            <w:r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in opleiding</w:t>
            </w: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stelt onder begeleiding van de </w:t>
            </w:r>
            <w:r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WPB</w:t>
            </w: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een leerwerkplan op.</w:t>
            </w:r>
          </w:p>
        </w:tc>
        <w:tc>
          <w:tcPr>
            <w:tcW w:w="3686" w:type="dxa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De docent</w:t>
            </w:r>
            <w:r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in opleiding</w:t>
            </w: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stelt op </w:t>
            </w:r>
            <w:proofErr w:type="spellStart"/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onderzoeksmatige</w:t>
            </w:r>
            <w:proofErr w:type="spellEnd"/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wijze zijn leerwerkplan op.</w:t>
            </w:r>
          </w:p>
        </w:tc>
        <w:tc>
          <w:tcPr>
            <w:tcW w:w="2977" w:type="dxa"/>
            <w:vMerge w:val="restart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De docent</w:t>
            </w:r>
            <w:r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in opleiding</w:t>
            </w: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is proactief en kan zo goed als zelfstandig reflecteren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De docent</w:t>
            </w:r>
            <w:r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in opleiding</w:t>
            </w: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is proactief en kan zo goed als zelfstandig reflecteren.</w:t>
            </w:r>
          </w:p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</w:p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</w:p>
        </w:tc>
        <w:tc>
          <w:tcPr>
            <w:tcW w:w="2836" w:type="dxa"/>
            <w:vMerge w:val="restart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De docent</w:t>
            </w:r>
            <w:r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in opleiding</w:t>
            </w: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 xml:space="preserve"> is in staat om zelfstandig te reflecteren en daarbij theorie te koppelen.</w:t>
            </w:r>
          </w:p>
        </w:tc>
      </w:tr>
      <w:tr w:rsidR="001B1A0E" w:rsidRPr="001B1A0E" w:rsidTr="001B1A0E">
        <w:trPr>
          <w:trHeight w:val="784"/>
        </w:trPr>
        <w:tc>
          <w:tcPr>
            <w:tcW w:w="1560" w:type="dxa"/>
            <w:vMerge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</w:p>
        </w:tc>
        <w:tc>
          <w:tcPr>
            <w:tcW w:w="1842" w:type="dxa"/>
            <w:vMerge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</w:p>
        </w:tc>
        <w:tc>
          <w:tcPr>
            <w:tcW w:w="3686" w:type="dxa"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  <w:r w:rsidRPr="000E44CB">
              <w:rPr>
                <w:rFonts w:asciiTheme="majorHAnsi" w:hAnsiTheme="majorHAnsi" w:cstheme="majorHAnsi"/>
                <w:sz w:val="18"/>
                <w:szCs w:val="18"/>
                <w:lang w:val="nl-NL"/>
              </w:rPr>
              <w:t>De student neemt initiatieven om zijn leerdoelen te realiseren binnen en buiten het team.</w:t>
            </w:r>
          </w:p>
        </w:tc>
        <w:tc>
          <w:tcPr>
            <w:tcW w:w="2977" w:type="dxa"/>
            <w:vMerge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</w:p>
        </w:tc>
        <w:tc>
          <w:tcPr>
            <w:tcW w:w="3118" w:type="dxa"/>
            <w:vMerge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</w:pPr>
          </w:p>
        </w:tc>
        <w:tc>
          <w:tcPr>
            <w:tcW w:w="2836" w:type="dxa"/>
            <w:vMerge/>
          </w:tcPr>
          <w:p w:rsidR="001B1A0E" w:rsidRPr="000E44CB" w:rsidRDefault="001B1A0E" w:rsidP="002B0FB1">
            <w:pPr>
              <w:rPr>
                <w:rFonts w:asciiTheme="majorHAnsi" w:hAnsiTheme="majorHAnsi" w:cstheme="majorHAnsi"/>
                <w:sz w:val="18"/>
                <w:szCs w:val="18"/>
                <w:lang w:val="nl-NL"/>
              </w:rPr>
            </w:pPr>
          </w:p>
        </w:tc>
      </w:tr>
      <w:bookmarkEnd w:id="0"/>
    </w:tbl>
    <w:p w:rsidR="0044506F" w:rsidRPr="001B1A0E" w:rsidRDefault="002D65A9" w:rsidP="001B1A0E">
      <w:pPr>
        <w:rPr>
          <w:lang w:val="nl-NL"/>
        </w:rPr>
      </w:pPr>
    </w:p>
    <w:sectPr w:rsidR="0044506F" w:rsidRPr="001B1A0E" w:rsidSect="001B1A0E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5A9" w:rsidRDefault="002D65A9" w:rsidP="001B1A0E">
      <w:pPr>
        <w:spacing w:after="0" w:line="240" w:lineRule="auto"/>
      </w:pPr>
      <w:r>
        <w:separator/>
      </w:r>
    </w:p>
  </w:endnote>
  <w:endnote w:type="continuationSeparator" w:id="0">
    <w:p w:rsidR="002D65A9" w:rsidRDefault="002D65A9" w:rsidP="001B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5A9" w:rsidRDefault="002D65A9" w:rsidP="001B1A0E">
      <w:pPr>
        <w:spacing w:after="0" w:line="240" w:lineRule="auto"/>
      </w:pPr>
      <w:r>
        <w:separator/>
      </w:r>
    </w:p>
  </w:footnote>
  <w:footnote w:type="continuationSeparator" w:id="0">
    <w:p w:rsidR="002D65A9" w:rsidRDefault="002D65A9" w:rsidP="001B1A0E">
      <w:pPr>
        <w:spacing w:after="0" w:line="240" w:lineRule="auto"/>
      </w:pPr>
      <w:r>
        <w:continuationSeparator/>
      </w:r>
    </w:p>
  </w:footnote>
  <w:footnote w:id="1">
    <w:p w:rsidR="001B1A0E" w:rsidRDefault="001B1A0E" w:rsidP="001B1A0E">
      <w:pPr>
        <w:pStyle w:val="Voetnoottekst"/>
      </w:pPr>
      <w:r w:rsidRPr="006E003C">
        <w:rPr>
          <w:rStyle w:val="Voetnootmarkering"/>
          <w:sz w:val="18"/>
          <w:szCs w:val="18"/>
        </w:rPr>
        <w:footnoteRef/>
      </w:r>
      <w:r w:rsidRPr="006E003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Bureau Extern, (2018), </w:t>
      </w:r>
      <w:r w:rsidRPr="0073305B">
        <w:rPr>
          <w:i/>
          <w:sz w:val="18"/>
          <w:szCs w:val="18"/>
        </w:rPr>
        <w:t>Leerwerktakenbank</w:t>
      </w:r>
      <w:r>
        <w:rPr>
          <w:i/>
          <w:sz w:val="18"/>
          <w:szCs w:val="18"/>
        </w:rPr>
        <w:t>,</w:t>
      </w:r>
      <w:r w:rsidRPr="006E003C">
        <w:rPr>
          <w:sz w:val="18"/>
          <w:szCs w:val="18"/>
        </w:rPr>
        <w:t xml:space="preserve"> </w:t>
      </w:r>
      <w:hyperlink r:id="rId1" w:history="1">
        <w:r w:rsidRPr="00E60A4D">
          <w:rPr>
            <w:rStyle w:val="Hyperlink"/>
            <w:sz w:val="18"/>
            <w:szCs w:val="18"/>
          </w:rPr>
          <w:t>https://specials.han.nl/sites/leerwerktaken/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04A"/>
    <w:multiLevelType w:val="hybridMultilevel"/>
    <w:tmpl w:val="12360DF4"/>
    <w:lvl w:ilvl="0" w:tplc="5FD86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42B42"/>
    <w:multiLevelType w:val="hybridMultilevel"/>
    <w:tmpl w:val="80C481EA"/>
    <w:lvl w:ilvl="0" w:tplc="60C60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9C8FC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D4844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C64F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30E53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9857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D6C6F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2250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1AC73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6A0039"/>
    <w:multiLevelType w:val="hybridMultilevel"/>
    <w:tmpl w:val="6498719E"/>
    <w:lvl w:ilvl="0" w:tplc="424EF8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654BEB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9BC23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D627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E0D88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850CB5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1C3B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101E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8EEB7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44353B"/>
    <w:multiLevelType w:val="hybridMultilevel"/>
    <w:tmpl w:val="A224DD40"/>
    <w:lvl w:ilvl="0" w:tplc="730893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46AC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51097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60B6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B0AF6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9E263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EA63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7C01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4822E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A30A5D"/>
    <w:multiLevelType w:val="hybridMultilevel"/>
    <w:tmpl w:val="A6C44E28"/>
    <w:lvl w:ilvl="0" w:tplc="DE0CE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1C4D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14834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1884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623A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E90A4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5A339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7C8E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58E51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0E"/>
    <w:rsid w:val="001B1A0E"/>
    <w:rsid w:val="002D65A9"/>
    <w:rsid w:val="003F3CD0"/>
    <w:rsid w:val="004E6BE8"/>
    <w:rsid w:val="00653147"/>
    <w:rsid w:val="006B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015E"/>
  <w15:chartTrackingRefBased/>
  <w15:docId w15:val="{99E77620-61F0-414E-B945-E461329E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1A0E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B1A0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B1A0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B1A0E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1B1A0E"/>
    <w:pPr>
      <w:spacing w:after="0" w:line="240" w:lineRule="auto"/>
    </w:pPr>
    <w:rPr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1B1A0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1B1A0E"/>
    <w:rPr>
      <w:vertAlign w:val="superscript"/>
    </w:rPr>
  </w:style>
  <w:style w:type="paragraph" w:styleId="Geenafstand">
    <w:name w:val="No Spacing"/>
    <w:uiPriority w:val="1"/>
    <w:qFormat/>
    <w:rsid w:val="001B1A0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ecials.han.nl/sites/leerwerktak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de Pruyssenaere de la Woestijne</dc:creator>
  <cp:keywords/>
  <dc:description/>
  <cp:lastModifiedBy>Stefanie de Pruyssenaere de la Woestijne</cp:lastModifiedBy>
  <cp:revision>1</cp:revision>
  <dcterms:created xsi:type="dcterms:W3CDTF">2019-01-11T15:11:00Z</dcterms:created>
  <dcterms:modified xsi:type="dcterms:W3CDTF">2019-01-11T15:17:00Z</dcterms:modified>
</cp:coreProperties>
</file>